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A262" w14:textId="77777777" w:rsidR="00517B04" w:rsidRDefault="00517B04">
      <w:pPr>
        <w:pStyle w:val="Title"/>
      </w:pPr>
    </w:p>
    <w:p w14:paraId="0F6F59B4" w14:textId="5742CBD9" w:rsidR="00BB1EB9" w:rsidRPr="00FF3AAF" w:rsidRDefault="00BB1EB9">
      <w:pPr>
        <w:pStyle w:val="Title"/>
        <w:rPr>
          <w:sz w:val="24"/>
          <w:szCs w:val="24"/>
        </w:rPr>
      </w:pPr>
      <w:r w:rsidRPr="00FF3AAF">
        <w:rPr>
          <w:sz w:val="24"/>
          <w:szCs w:val="24"/>
        </w:rPr>
        <w:t>A Desktop Guide To Social Secur</w:t>
      </w:r>
      <w:r w:rsidR="002D254C" w:rsidRPr="00FF3AAF">
        <w:rPr>
          <w:sz w:val="24"/>
          <w:szCs w:val="24"/>
        </w:rPr>
        <w:t xml:space="preserve">ity </w:t>
      </w:r>
      <w:r w:rsidR="00D6591A" w:rsidRPr="00FF3AAF">
        <w:rPr>
          <w:sz w:val="24"/>
          <w:szCs w:val="24"/>
        </w:rPr>
        <w:t>and</w:t>
      </w:r>
      <w:r w:rsidR="002D254C" w:rsidRPr="00FF3AAF">
        <w:rPr>
          <w:sz w:val="24"/>
          <w:szCs w:val="24"/>
        </w:rPr>
        <w:t xml:space="preserve"> </w:t>
      </w:r>
      <w:r w:rsidR="00BB10D5">
        <w:rPr>
          <w:sz w:val="24"/>
          <w:szCs w:val="24"/>
        </w:rPr>
        <w:t xml:space="preserve">SSI Work Incentives </w:t>
      </w:r>
      <w:r w:rsidR="002D254C" w:rsidRPr="00FF3AAF">
        <w:rPr>
          <w:sz w:val="24"/>
          <w:szCs w:val="24"/>
        </w:rPr>
        <w:t>20</w:t>
      </w:r>
      <w:r w:rsidR="00723496" w:rsidRPr="00FF3AAF">
        <w:rPr>
          <w:sz w:val="24"/>
          <w:szCs w:val="24"/>
        </w:rPr>
        <w:t>2</w:t>
      </w:r>
      <w:r w:rsidR="00A27A26">
        <w:rPr>
          <w:sz w:val="24"/>
          <w:szCs w:val="24"/>
        </w:rPr>
        <w:t>5</w:t>
      </w:r>
    </w:p>
    <w:p w14:paraId="19692EFB" w14:textId="4868BBBF" w:rsidR="007B7C52" w:rsidRDefault="00B64CF5">
      <w:pPr>
        <w:pStyle w:val="BodyText"/>
      </w:pPr>
      <w:r>
        <w:rPr>
          <w:sz w:val="18"/>
        </w:rPr>
        <w:t xml:space="preserve">Rules </w:t>
      </w:r>
      <w:r w:rsidR="002E2816">
        <w:rPr>
          <w:sz w:val="18"/>
        </w:rPr>
        <w:t xml:space="preserve">make it possible for people with disabilities receiving Social Security or Supplemental Security Income (SSI) to work and still receive monthly payments and Medicare or Medicaid. Social Security calls these employment supports “work incentives.” Following are the rules that apply under each program. </w:t>
      </w:r>
      <w:r w:rsidR="00FA0B8A">
        <w:rPr>
          <w:sz w:val="18"/>
        </w:rPr>
        <w:t xml:space="preserve">If you would like more information in general about work incentives or using the Ticket to Work program, you can call the </w:t>
      </w:r>
      <w:r w:rsidR="002B3CA9">
        <w:rPr>
          <w:sz w:val="18"/>
        </w:rPr>
        <w:t xml:space="preserve">Ticket to Work Helpline </w:t>
      </w:r>
      <w:r w:rsidR="00FA0B8A">
        <w:rPr>
          <w:sz w:val="18"/>
        </w:rPr>
        <w:t>at1-</w:t>
      </w:r>
      <w:r w:rsidR="002B3CA9">
        <w:rPr>
          <w:sz w:val="18"/>
        </w:rPr>
        <w:t>866-968-7842, TTY 866-833-2967</w:t>
      </w:r>
      <w:r w:rsidR="00FA0B8A">
        <w:rPr>
          <w:sz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7380"/>
      </w:tblGrid>
      <w:tr w:rsidR="00BB1EB9" w14:paraId="74D755BF" w14:textId="77777777">
        <w:tc>
          <w:tcPr>
            <w:tcW w:w="7290" w:type="dxa"/>
          </w:tcPr>
          <w:p w14:paraId="733C2574" w14:textId="77777777" w:rsidR="00BB1EB9" w:rsidRDefault="00F13026">
            <w:pPr>
              <w:pStyle w:val="BodyText"/>
              <w:jc w:val="center"/>
              <w:rPr>
                <w:b/>
              </w:rPr>
            </w:pPr>
            <w:r w:rsidRPr="002B3CA9">
              <w:rPr>
                <w:b/>
              </w:rPr>
              <w:t>Social Sec</w:t>
            </w:r>
            <w:r w:rsidR="00BB1EB9" w:rsidRPr="002B3CA9">
              <w:rPr>
                <w:b/>
              </w:rPr>
              <w:t>urity Disability Insurance (SSDI)</w:t>
            </w:r>
          </w:p>
          <w:p w14:paraId="6575BDE9" w14:textId="77777777" w:rsidR="00F145CF" w:rsidRDefault="00F145CF" w:rsidP="006C6C25">
            <w:pPr>
              <w:pStyle w:val="BodyText"/>
              <w:jc w:val="center"/>
              <w:rPr>
                <w:b/>
              </w:rPr>
            </w:pPr>
          </w:p>
          <w:p w14:paraId="71038DB3" w14:textId="197364BF" w:rsidR="00BB1EB9" w:rsidRDefault="0066397D" w:rsidP="006C6C25">
            <w:pPr>
              <w:pStyle w:val="BodyText"/>
              <w:jc w:val="center"/>
              <w:rPr>
                <w:b/>
              </w:rPr>
            </w:pPr>
            <w:r>
              <w:rPr>
                <w:b/>
              </w:rPr>
              <w:t>TWP = $</w:t>
            </w:r>
            <w:r w:rsidR="00BD67E9">
              <w:rPr>
                <w:b/>
              </w:rPr>
              <w:t>1,</w:t>
            </w:r>
            <w:r w:rsidR="001739DA">
              <w:rPr>
                <w:b/>
              </w:rPr>
              <w:t>1</w:t>
            </w:r>
            <w:r w:rsidR="00A27A26">
              <w:rPr>
                <w:b/>
              </w:rPr>
              <w:t>60</w:t>
            </w:r>
            <w:r w:rsidR="00F13026" w:rsidRPr="002B3CA9">
              <w:rPr>
                <w:b/>
              </w:rPr>
              <w:t>, SGA = $1</w:t>
            </w:r>
            <w:r w:rsidR="001B5F17" w:rsidRPr="002B3CA9">
              <w:rPr>
                <w:b/>
              </w:rPr>
              <w:t>,</w:t>
            </w:r>
            <w:r w:rsidR="00A27A26">
              <w:rPr>
                <w:b/>
              </w:rPr>
              <w:t>620</w:t>
            </w:r>
            <w:r w:rsidR="001B5F17" w:rsidRPr="002B3CA9">
              <w:rPr>
                <w:b/>
              </w:rPr>
              <w:t xml:space="preserve"> Blind SGA = $</w:t>
            </w:r>
            <w:r w:rsidR="00BD67E9">
              <w:rPr>
                <w:b/>
              </w:rPr>
              <w:t>2,</w:t>
            </w:r>
            <w:r w:rsidR="00A27A26">
              <w:rPr>
                <w:b/>
              </w:rPr>
              <w:t>700</w:t>
            </w:r>
          </w:p>
        </w:tc>
        <w:tc>
          <w:tcPr>
            <w:tcW w:w="7380" w:type="dxa"/>
          </w:tcPr>
          <w:p w14:paraId="3060081C" w14:textId="77777777" w:rsidR="00BB1EB9" w:rsidRDefault="00BB1EB9">
            <w:pPr>
              <w:pStyle w:val="BodyText"/>
              <w:jc w:val="center"/>
              <w:rPr>
                <w:b/>
              </w:rPr>
            </w:pPr>
            <w:r>
              <w:rPr>
                <w:b/>
              </w:rPr>
              <w:t>Supplemental Security Income (SSI)</w:t>
            </w:r>
          </w:p>
          <w:p w14:paraId="6F23EC37" w14:textId="4D07CED0" w:rsidR="00BB1EB9" w:rsidRPr="002B3CA9" w:rsidRDefault="00A35F24" w:rsidP="00251DDC">
            <w:pPr>
              <w:pStyle w:val="NormalWeb"/>
              <w:jc w:val="center"/>
              <w:rPr>
                <w:b/>
                <w:sz w:val="20"/>
                <w:szCs w:val="20"/>
              </w:rPr>
            </w:pPr>
            <w:r w:rsidRPr="002B3CA9">
              <w:rPr>
                <w:b/>
                <w:sz w:val="20"/>
                <w:szCs w:val="20"/>
              </w:rPr>
              <w:t>FBR</w:t>
            </w:r>
            <w:r w:rsidR="002B3CA9" w:rsidRPr="002B3CA9">
              <w:rPr>
                <w:b/>
                <w:sz w:val="20"/>
                <w:szCs w:val="20"/>
              </w:rPr>
              <w:t xml:space="preserve"> </w:t>
            </w:r>
            <w:r w:rsidRPr="002B3CA9">
              <w:rPr>
                <w:b/>
                <w:sz w:val="20"/>
                <w:szCs w:val="20"/>
              </w:rPr>
              <w:t>=</w:t>
            </w:r>
            <w:r w:rsidR="002B3CA9" w:rsidRPr="002B3CA9">
              <w:rPr>
                <w:b/>
                <w:sz w:val="20"/>
                <w:szCs w:val="20"/>
              </w:rPr>
              <w:t xml:space="preserve"> Single </w:t>
            </w:r>
            <w:r w:rsidR="0066397D">
              <w:rPr>
                <w:b/>
                <w:sz w:val="20"/>
                <w:szCs w:val="20"/>
              </w:rPr>
              <w:t>$</w:t>
            </w:r>
            <w:r w:rsidR="00BD67E9">
              <w:rPr>
                <w:b/>
                <w:sz w:val="20"/>
                <w:szCs w:val="20"/>
              </w:rPr>
              <w:t>9</w:t>
            </w:r>
            <w:r w:rsidR="00A27A26">
              <w:rPr>
                <w:b/>
                <w:sz w:val="20"/>
                <w:szCs w:val="20"/>
              </w:rPr>
              <w:t>67</w:t>
            </w:r>
            <w:r w:rsidR="002B3CA9" w:rsidRPr="002B3CA9">
              <w:rPr>
                <w:b/>
                <w:sz w:val="20"/>
                <w:szCs w:val="20"/>
              </w:rPr>
              <w:t>, Couple</w:t>
            </w:r>
            <w:r w:rsidR="003F7505" w:rsidRPr="002B3CA9">
              <w:rPr>
                <w:b/>
                <w:sz w:val="20"/>
                <w:szCs w:val="20"/>
              </w:rPr>
              <w:t xml:space="preserve"> $</w:t>
            </w:r>
            <w:r w:rsidR="00BD67E9">
              <w:rPr>
                <w:b/>
                <w:sz w:val="20"/>
                <w:szCs w:val="20"/>
              </w:rPr>
              <w:t>1,</w:t>
            </w:r>
            <w:r w:rsidR="001739DA">
              <w:rPr>
                <w:b/>
                <w:sz w:val="20"/>
                <w:szCs w:val="20"/>
              </w:rPr>
              <w:t>4</w:t>
            </w:r>
            <w:r w:rsidR="00A27A26">
              <w:rPr>
                <w:b/>
                <w:sz w:val="20"/>
                <w:szCs w:val="20"/>
              </w:rPr>
              <w:t>50</w:t>
            </w:r>
            <w:r w:rsidR="00251DDC" w:rsidRPr="002B3CA9">
              <w:rPr>
                <w:b/>
                <w:sz w:val="20"/>
                <w:szCs w:val="20"/>
              </w:rPr>
              <w:t>,</w:t>
            </w:r>
            <w:r w:rsidR="00336AB0" w:rsidRPr="002B3CA9">
              <w:rPr>
                <w:b/>
                <w:sz w:val="20"/>
                <w:szCs w:val="20"/>
              </w:rPr>
              <w:t xml:space="preserve"> </w:t>
            </w:r>
            <w:r w:rsidR="00BB1EB9" w:rsidRPr="002B3CA9">
              <w:rPr>
                <w:b/>
                <w:sz w:val="20"/>
                <w:szCs w:val="20"/>
              </w:rPr>
              <w:t>Threshold $</w:t>
            </w:r>
            <w:r w:rsidR="001739DA">
              <w:rPr>
                <w:b/>
                <w:sz w:val="20"/>
                <w:szCs w:val="20"/>
              </w:rPr>
              <w:t>35,761</w:t>
            </w:r>
            <w:r w:rsidR="00A27A26">
              <w:rPr>
                <w:b/>
                <w:sz w:val="20"/>
                <w:szCs w:val="20"/>
              </w:rPr>
              <w:t xml:space="preserve"> (2024)</w:t>
            </w:r>
          </w:p>
          <w:p w14:paraId="5029F636" w14:textId="128E6FED" w:rsidR="00251DDC" w:rsidRPr="00452431" w:rsidRDefault="00251DDC" w:rsidP="00A35F24">
            <w:pPr>
              <w:pStyle w:val="NormalWeb"/>
              <w:jc w:val="center"/>
              <w:rPr>
                <w:b/>
              </w:rPr>
            </w:pPr>
            <w:r w:rsidRPr="002B3CA9">
              <w:rPr>
                <w:b/>
                <w:sz w:val="20"/>
                <w:szCs w:val="20"/>
              </w:rPr>
              <w:t>Break Even $</w:t>
            </w:r>
            <w:r w:rsidR="00A27A26">
              <w:rPr>
                <w:b/>
                <w:sz w:val="20"/>
                <w:szCs w:val="20"/>
              </w:rPr>
              <w:t>2,401</w:t>
            </w:r>
          </w:p>
        </w:tc>
      </w:tr>
      <w:tr w:rsidR="00BB1EB9" w14:paraId="08F0D732" w14:textId="77777777">
        <w:trPr>
          <w:trHeight w:val="8495"/>
        </w:trPr>
        <w:tc>
          <w:tcPr>
            <w:tcW w:w="7290" w:type="dxa"/>
          </w:tcPr>
          <w:p w14:paraId="04018251" w14:textId="77777777" w:rsidR="00BB1EB9" w:rsidRDefault="00BB1EB9">
            <w:pPr>
              <w:pStyle w:val="BodyText"/>
              <w:jc w:val="center"/>
            </w:pPr>
          </w:p>
          <w:p w14:paraId="48F10FB4" w14:textId="77777777" w:rsidR="00BB1EB9" w:rsidRDefault="00BB1EB9">
            <w:pPr>
              <w:pStyle w:val="BodyText"/>
            </w:pPr>
            <w:r>
              <w:rPr>
                <w:b/>
              </w:rPr>
              <w:t>Trial Work Period</w:t>
            </w:r>
            <w:r>
              <w:t xml:space="preserve">—A period of nine months (not necessarily consecutive) during which the earnings of a Social Security beneficiary who is blind or disabled will not affect his or her benefit. </w:t>
            </w:r>
          </w:p>
          <w:p w14:paraId="62F441A8" w14:textId="77777777" w:rsidR="00BB1EB9" w:rsidRDefault="00BB1EB9">
            <w:pPr>
              <w:rPr>
                <w:snapToGrid w:val="0"/>
                <w:color w:val="000000"/>
                <w:sz w:val="20"/>
              </w:rPr>
            </w:pPr>
          </w:p>
          <w:p w14:paraId="4F87BEFE" w14:textId="55DABC8F" w:rsidR="00BB1EB9" w:rsidRDefault="00BB1EB9">
            <w:pPr>
              <w:rPr>
                <w:snapToGrid w:val="0"/>
                <w:color w:val="000000"/>
                <w:sz w:val="20"/>
              </w:rPr>
            </w:pPr>
            <w:r>
              <w:rPr>
                <w:b/>
                <w:snapToGrid w:val="0"/>
                <w:color w:val="000000"/>
                <w:sz w:val="20"/>
              </w:rPr>
              <w:t>Extended Period of Eligibility</w:t>
            </w:r>
            <w:r>
              <w:rPr>
                <w:snapToGrid w:val="0"/>
                <w:color w:val="000000"/>
                <w:sz w:val="20"/>
              </w:rPr>
              <w:t xml:space="preserve">—For at least three years after a successful trial work period, a Social Security beneficiary who is blind or disabled may </w:t>
            </w:r>
            <w:r w:rsidR="00FA0B8A">
              <w:rPr>
                <w:snapToGrid w:val="0"/>
                <w:color w:val="000000"/>
                <w:sz w:val="20"/>
              </w:rPr>
              <w:t xml:space="preserve">be due </w:t>
            </w:r>
            <w:r>
              <w:rPr>
                <w:snapToGrid w:val="0"/>
                <w:color w:val="000000"/>
                <w:sz w:val="20"/>
              </w:rPr>
              <w:t>a disability benefit for any month that his/her earnings are below the substantial</w:t>
            </w:r>
            <w:r w:rsidR="0066397D">
              <w:rPr>
                <w:snapToGrid w:val="0"/>
                <w:color w:val="000000"/>
                <w:sz w:val="20"/>
              </w:rPr>
              <w:t xml:space="preserve"> gainful activity level (in 20</w:t>
            </w:r>
            <w:r w:rsidR="00752948">
              <w:rPr>
                <w:snapToGrid w:val="0"/>
                <w:color w:val="000000"/>
                <w:sz w:val="20"/>
              </w:rPr>
              <w:t>2</w:t>
            </w:r>
            <w:r w:rsidR="00A27A26">
              <w:rPr>
                <w:snapToGrid w:val="0"/>
                <w:color w:val="000000"/>
                <w:sz w:val="20"/>
              </w:rPr>
              <w:t>5</w:t>
            </w:r>
            <w:r w:rsidR="0066397D">
              <w:rPr>
                <w:snapToGrid w:val="0"/>
                <w:color w:val="000000"/>
                <w:sz w:val="20"/>
              </w:rPr>
              <w:t>, $1</w:t>
            </w:r>
            <w:r w:rsidR="00A27A26">
              <w:rPr>
                <w:snapToGrid w:val="0"/>
                <w:color w:val="000000"/>
                <w:sz w:val="20"/>
              </w:rPr>
              <w:t>,620</w:t>
            </w:r>
            <w:r>
              <w:rPr>
                <w:snapToGrid w:val="0"/>
                <w:color w:val="000000"/>
                <w:sz w:val="20"/>
              </w:rPr>
              <w:t xml:space="preserve"> for people who are d</w:t>
            </w:r>
            <w:r w:rsidR="00F72572">
              <w:rPr>
                <w:snapToGrid w:val="0"/>
                <w:color w:val="000000"/>
                <w:sz w:val="20"/>
              </w:rPr>
              <w:t>isabled, $</w:t>
            </w:r>
            <w:r w:rsidR="00BD67E9">
              <w:rPr>
                <w:snapToGrid w:val="0"/>
                <w:color w:val="000000"/>
                <w:sz w:val="20"/>
              </w:rPr>
              <w:t>2,</w:t>
            </w:r>
            <w:r w:rsidR="00A27A26">
              <w:rPr>
                <w:snapToGrid w:val="0"/>
                <w:color w:val="000000"/>
                <w:sz w:val="20"/>
              </w:rPr>
              <w:t>700</w:t>
            </w:r>
            <w:r>
              <w:rPr>
                <w:snapToGrid w:val="0"/>
                <w:color w:val="000000"/>
                <w:sz w:val="20"/>
              </w:rPr>
              <w:t xml:space="preserve"> for people who are blind).</w:t>
            </w:r>
          </w:p>
          <w:p w14:paraId="25B704DF" w14:textId="77777777" w:rsidR="00BB1EB9" w:rsidRDefault="00BB1EB9">
            <w:pPr>
              <w:rPr>
                <w:snapToGrid w:val="0"/>
                <w:color w:val="000000"/>
                <w:sz w:val="20"/>
              </w:rPr>
            </w:pPr>
          </w:p>
          <w:p w14:paraId="79429661" w14:textId="77777777" w:rsidR="00BB1EB9" w:rsidRPr="008132A9" w:rsidRDefault="00432B2D">
            <w:pPr>
              <w:autoSpaceDE w:val="0"/>
              <w:autoSpaceDN w:val="0"/>
              <w:adjustRightInd w:val="0"/>
              <w:rPr>
                <w:rFonts w:cs="Arial"/>
                <w:sz w:val="20"/>
              </w:rPr>
            </w:pPr>
            <w:r w:rsidRPr="001466A2">
              <w:rPr>
                <w:rFonts w:cs="Arial"/>
                <w:b/>
                <w:bCs/>
                <w:sz w:val="20"/>
              </w:rPr>
              <w:t>Expedited Reinstatement</w:t>
            </w:r>
            <w:r w:rsidR="00BB1EB9">
              <w:rPr>
                <w:rFonts w:ascii="Times New Roman" w:hAnsi="Times New Roman"/>
                <w:sz w:val="23"/>
                <w:szCs w:val="23"/>
              </w:rPr>
              <w:t>—</w:t>
            </w:r>
            <w:r w:rsidR="00BB1EB9" w:rsidRPr="008132A9">
              <w:rPr>
                <w:rFonts w:cs="Arial"/>
                <w:sz w:val="20"/>
              </w:rPr>
              <w:t xml:space="preserve">If a beneficiary’s benefits have ended because of earnings from work and he/she becomes unable to </w:t>
            </w:r>
            <w:r w:rsidR="00FA0B8A" w:rsidRPr="008132A9">
              <w:rPr>
                <w:rFonts w:cs="Arial"/>
                <w:sz w:val="20"/>
              </w:rPr>
              <w:t>earn Substantial Gainful Activity</w:t>
            </w:r>
            <w:r w:rsidR="00BB1EB9" w:rsidRPr="008132A9">
              <w:rPr>
                <w:rFonts w:cs="Arial"/>
                <w:sz w:val="20"/>
              </w:rPr>
              <w:t xml:space="preserve"> within 60 months, benefits may begin again without a new application.</w:t>
            </w:r>
            <w:r w:rsidR="00FA0B8A" w:rsidRPr="008132A9">
              <w:rPr>
                <w:rFonts w:cs="Arial"/>
                <w:sz w:val="20"/>
              </w:rPr>
              <w:t xml:space="preserve"> The beneficiary must still have the same disability, or one related to the reason he/she was first entitled.</w:t>
            </w:r>
          </w:p>
          <w:p w14:paraId="0A90105C" w14:textId="77777777" w:rsidR="00BB1EB9" w:rsidRDefault="00BB1EB9">
            <w:pPr>
              <w:rPr>
                <w:b/>
                <w:snapToGrid w:val="0"/>
                <w:color w:val="000000"/>
                <w:sz w:val="20"/>
              </w:rPr>
            </w:pPr>
          </w:p>
          <w:p w14:paraId="53D05C7B" w14:textId="77777777" w:rsidR="00BB1EB9" w:rsidRDefault="00BB1EB9">
            <w:pPr>
              <w:rPr>
                <w:snapToGrid w:val="0"/>
                <w:color w:val="000000"/>
                <w:sz w:val="20"/>
              </w:rPr>
            </w:pPr>
            <w:r>
              <w:rPr>
                <w:b/>
                <w:snapToGrid w:val="0"/>
                <w:color w:val="000000"/>
                <w:sz w:val="20"/>
              </w:rPr>
              <w:t>Continuation of Medicare</w:t>
            </w:r>
            <w:r>
              <w:rPr>
                <w:snapToGrid w:val="0"/>
                <w:color w:val="000000"/>
                <w:sz w:val="20"/>
              </w:rPr>
              <w:t>—If Social Security disability payments stop because a person has earnings at or above the substantial gainful activity level, but the person is still disabled, Medicare can continue for at least 93 months after the trial work period. After that, the person can buy Medicare coverage by paying a monthly premium.</w:t>
            </w:r>
          </w:p>
          <w:p w14:paraId="7B78CA53" w14:textId="77777777" w:rsidR="00BB1EB9" w:rsidRDefault="00BB1EB9">
            <w:pPr>
              <w:rPr>
                <w:snapToGrid w:val="0"/>
                <w:color w:val="000000"/>
                <w:sz w:val="20"/>
              </w:rPr>
            </w:pPr>
          </w:p>
          <w:p w14:paraId="63F6C4B7" w14:textId="77777777" w:rsidR="00BB1EB9" w:rsidRDefault="00BB1EB9">
            <w:pPr>
              <w:rPr>
                <w:snapToGrid w:val="0"/>
                <w:color w:val="000000"/>
                <w:sz w:val="20"/>
              </w:rPr>
            </w:pPr>
            <w:r>
              <w:rPr>
                <w:b/>
                <w:snapToGrid w:val="0"/>
                <w:color w:val="000000"/>
                <w:sz w:val="20"/>
              </w:rPr>
              <w:t>Impairment-Related Work Expenses</w:t>
            </w:r>
            <w:r>
              <w:rPr>
                <w:snapToGrid w:val="0"/>
                <w:color w:val="000000"/>
                <w:sz w:val="20"/>
              </w:rPr>
              <w:t>—Certain expenses for things a person with a disability needs because of his/her impairment in order to work may be deducted when counting earnings to determine if the person is performing substantial gainful activity.</w:t>
            </w:r>
          </w:p>
          <w:p w14:paraId="0CE59659" w14:textId="77777777" w:rsidR="00BB1EB9" w:rsidRDefault="00BB1EB9">
            <w:pPr>
              <w:rPr>
                <w:snapToGrid w:val="0"/>
                <w:color w:val="000000"/>
                <w:sz w:val="20"/>
              </w:rPr>
            </w:pPr>
          </w:p>
          <w:p w14:paraId="5EC57D17" w14:textId="77777777" w:rsidR="00BB1EB9" w:rsidRDefault="00BB1EB9">
            <w:pPr>
              <w:rPr>
                <w:snapToGrid w:val="0"/>
                <w:color w:val="000000"/>
                <w:sz w:val="20"/>
              </w:rPr>
            </w:pPr>
            <w:r>
              <w:rPr>
                <w:b/>
                <w:snapToGrid w:val="0"/>
                <w:color w:val="000000"/>
                <w:sz w:val="20"/>
              </w:rPr>
              <w:t xml:space="preserve">Subsidies and Special Conditions--- </w:t>
            </w:r>
            <w:r>
              <w:rPr>
                <w:snapToGrid w:val="0"/>
                <w:color w:val="000000"/>
                <w:sz w:val="20"/>
              </w:rPr>
              <w:t xml:space="preserve">refer to support you receive on the job that could result in your receiving more pay than the actual value of the services you performed.  </w:t>
            </w:r>
            <w:r w:rsidR="00735892">
              <w:rPr>
                <w:snapToGrid w:val="0"/>
                <w:color w:val="000000"/>
                <w:sz w:val="20"/>
              </w:rPr>
              <w:t xml:space="preserve">Social Security </w:t>
            </w:r>
            <w:r>
              <w:rPr>
                <w:snapToGrid w:val="0"/>
                <w:color w:val="000000"/>
                <w:sz w:val="20"/>
              </w:rPr>
              <w:t>deduct</w:t>
            </w:r>
            <w:r w:rsidR="00735892">
              <w:rPr>
                <w:snapToGrid w:val="0"/>
                <w:color w:val="000000"/>
                <w:sz w:val="20"/>
              </w:rPr>
              <w:t>s</w:t>
            </w:r>
            <w:r>
              <w:rPr>
                <w:snapToGrid w:val="0"/>
                <w:color w:val="000000"/>
                <w:sz w:val="20"/>
              </w:rPr>
              <w:t xml:space="preserve"> the value of subsidies and special conditions from your earnings when </w:t>
            </w:r>
            <w:r w:rsidR="00735892">
              <w:rPr>
                <w:snapToGrid w:val="0"/>
                <w:color w:val="000000"/>
                <w:sz w:val="20"/>
              </w:rPr>
              <w:t xml:space="preserve">they </w:t>
            </w:r>
            <w:r>
              <w:rPr>
                <w:snapToGrid w:val="0"/>
                <w:color w:val="000000"/>
                <w:sz w:val="20"/>
              </w:rPr>
              <w:t xml:space="preserve">decide whether you are working at the SGA level. </w:t>
            </w:r>
          </w:p>
          <w:p w14:paraId="595CD45D" w14:textId="77777777" w:rsidR="00BB1EB9" w:rsidRDefault="00BB1EB9">
            <w:pPr>
              <w:rPr>
                <w:snapToGrid w:val="0"/>
                <w:color w:val="000000"/>
                <w:sz w:val="20"/>
              </w:rPr>
            </w:pPr>
          </w:p>
          <w:p w14:paraId="594BDB09" w14:textId="662C3925" w:rsidR="00BB1EB9" w:rsidRDefault="00336AB0">
            <w:pPr>
              <w:rPr>
                <w:snapToGrid w:val="0"/>
                <w:color w:val="000000"/>
                <w:sz w:val="20"/>
              </w:rPr>
            </w:pPr>
            <w:r>
              <w:rPr>
                <w:b/>
                <w:snapToGrid w:val="0"/>
                <w:color w:val="000000"/>
                <w:sz w:val="20"/>
              </w:rPr>
              <w:t>Section 301</w:t>
            </w:r>
            <w:r w:rsidR="00BB1EB9">
              <w:rPr>
                <w:snapToGrid w:val="0"/>
                <w:color w:val="000000"/>
                <w:sz w:val="20"/>
              </w:rPr>
              <w:t>—</w:t>
            </w:r>
            <w:r w:rsidR="00A27A26">
              <w:rPr>
                <w:snapToGrid w:val="0"/>
                <w:color w:val="000000"/>
                <w:sz w:val="20"/>
              </w:rPr>
              <w:t xml:space="preserve">(SSDI/SSI) </w:t>
            </w:r>
            <w:r w:rsidR="00BB1EB9">
              <w:rPr>
                <w:snapToGrid w:val="0"/>
                <w:color w:val="000000"/>
                <w:sz w:val="20"/>
              </w:rPr>
              <w:t>If a person recovers while participating in a vocational rehabilitation</w:t>
            </w:r>
            <w:r>
              <w:rPr>
                <w:snapToGrid w:val="0"/>
                <w:color w:val="000000"/>
                <w:sz w:val="20"/>
              </w:rPr>
              <w:t xml:space="preserve"> or training</w:t>
            </w:r>
            <w:r w:rsidR="00BB1EB9">
              <w:rPr>
                <w:snapToGrid w:val="0"/>
                <w:color w:val="000000"/>
                <w:sz w:val="20"/>
              </w:rPr>
              <w:t xml:space="preserve"> program that is likely to lead to becoming self-supporting, benefits may continue until the program ends.</w:t>
            </w:r>
            <w:r w:rsidR="00A27A26">
              <w:rPr>
                <w:snapToGrid w:val="0"/>
                <w:color w:val="000000"/>
                <w:sz w:val="20"/>
              </w:rPr>
              <w:t xml:space="preserve"> </w:t>
            </w:r>
          </w:p>
        </w:tc>
        <w:tc>
          <w:tcPr>
            <w:tcW w:w="7380" w:type="dxa"/>
          </w:tcPr>
          <w:p w14:paraId="4E1ECDA6" w14:textId="77777777" w:rsidR="00BB1EB9" w:rsidRDefault="00BB1EB9">
            <w:pPr>
              <w:rPr>
                <w:snapToGrid w:val="0"/>
                <w:color w:val="000000"/>
                <w:sz w:val="20"/>
              </w:rPr>
            </w:pPr>
          </w:p>
          <w:p w14:paraId="0EC429EE" w14:textId="77777777" w:rsidR="00BB1EB9" w:rsidRDefault="00BB1EB9">
            <w:pPr>
              <w:rPr>
                <w:snapToGrid w:val="0"/>
                <w:color w:val="000000"/>
                <w:sz w:val="20"/>
              </w:rPr>
            </w:pPr>
            <w:r>
              <w:rPr>
                <w:b/>
                <w:snapToGrid w:val="0"/>
                <w:color w:val="000000"/>
                <w:sz w:val="20"/>
              </w:rPr>
              <w:t>Continuation Of SSI</w:t>
            </w:r>
            <w:r>
              <w:rPr>
                <w:snapToGrid w:val="0"/>
                <w:color w:val="000000"/>
                <w:sz w:val="20"/>
              </w:rPr>
              <w:t>—Working SSI recipients who are blind or disabled may continue to receive payments until countable income exceeds SSI limits.</w:t>
            </w:r>
          </w:p>
          <w:p w14:paraId="16895406" w14:textId="77777777" w:rsidR="00BB1EB9" w:rsidRDefault="00BB1EB9">
            <w:pPr>
              <w:rPr>
                <w:snapToGrid w:val="0"/>
                <w:color w:val="000000"/>
                <w:sz w:val="20"/>
              </w:rPr>
            </w:pPr>
          </w:p>
          <w:p w14:paraId="2D692560" w14:textId="77777777" w:rsidR="00BB1EB9" w:rsidRDefault="00BB1EB9">
            <w:pPr>
              <w:rPr>
                <w:snapToGrid w:val="0"/>
                <w:color w:val="000000"/>
                <w:sz w:val="20"/>
              </w:rPr>
            </w:pPr>
            <w:r>
              <w:rPr>
                <w:b/>
                <w:snapToGrid w:val="0"/>
                <w:color w:val="000000"/>
                <w:sz w:val="20"/>
              </w:rPr>
              <w:t>Continuation Of Medicaid Eligibility</w:t>
            </w:r>
            <w:r>
              <w:rPr>
                <w:snapToGrid w:val="0"/>
                <w:color w:val="000000"/>
                <w:sz w:val="20"/>
              </w:rPr>
              <w:t xml:space="preserve">—Medicaid may continue for SSI recipients who are blind or disabled and earn over the SSI limits if they cannot afford similar medical care and </w:t>
            </w:r>
            <w:r w:rsidR="00735892">
              <w:rPr>
                <w:snapToGrid w:val="0"/>
                <w:color w:val="000000"/>
                <w:sz w:val="20"/>
              </w:rPr>
              <w:t xml:space="preserve">need </w:t>
            </w:r>
            <w:r>
              <w:rPr>
                <w:snapToGrid w:val="0"/>
                <w:color w:val="000000"/>
                <w:sz w:val="20"/>
              </w:rPr>
              <w:t xml:space="preserve">Medicaid in order to work.  </w:t>
            </w:r>
          </w:p>
          <w:p w14:paraId="35CB9A62" w14:textId="77777777" w:rsidR="00BB1EB9" w:rsidRDefault="00BB1EB9">
            <w:pPr>
              <w:rPr>
                <w:snapToGrid w:val="0"/>
                <w:color w:val="000000"/>
                <w:sz w:val="20"/>
              </w:rPr>
            </w:pPr>
          </w:p>
          <w:p w14:paraId="5EEE7884" w14:textId="77777777" w:rsidR="00BB1EB9" w:rsidRDefault="00BB1EB9">
            <w:pPr>
              <w:rPr>
                <w:snapToGrid w:val="0"/>
                <w:color w:val="000000"/>
                <w:sz w:val="20"/>
              </w:rPr>
            </w:pPr>
            <w:r>
              <w:rPr>
                <w:b/>
                <w:snapToGrid w:val="0"/>
                <w:color w:val="000000"/>
                <w:sz w:val="20"/>
              </w:rPr>
              <w:t xml:space="preserve">Plan </w:t>
            </w:r>
            <w:r w:rsidR="008132A9">
              <w:rPr>
                <w:b/>
                <w:snapToGrid w:val="0"/>
                <w:color w:val="000000"/>
                <w:sz w:val="20"/>
              </w:rPr>
              <w:t>f</w:t>
            </w:r>
            <w:r>
              <w:rPr>
                <w:b/>
                <w:snapToGrid w:val="0"/>
                <w:color w:val="000000"/>
                <w:sz w:val="20"/>
              </w:rPr>
              <w:t>or Achieving Self-Support</w:t>
            </w:r>
            <w:r>
              <w:rPr>
                <w:snapToGrid w:val="0"/>
                <w:color w:val="000000"/>
                <w:sz w:val="20"/>
              </w:rPr>
              <w:t>—An SSI recipient who is blind or disabled may set aside income and resources toward an approved plan for achieving self-support (PASS).</w:t>
            </w:r>
          </w:p>
          <w:p w14:paraId="7D9254C3" w14:textId="77777777" w:rsidR="00BB1EB9" w:rsidRDefault="00BB1EB9">
            <w:pPr>
              <w:rPr>
                <w:snapToGrid w:val="0"/>
                <w:color w:val="000000"/>
                <w:sz w:val="20"/>
              </w:rPr>
            </w:pPr>
          </w:p>
          <w:p w14:paraId="71CAC3DC" w14:textId="77777777" w:rsidR="00BB1EB9" w:rsidRDefault="00BB1EB9">
            <w:pPr>
              <w:rPr>
                <w:snapToGrid w:val="0"/>
                <w:color w:val="000000"/>
                <w:sz w:val="20"/>
              </w:rPr>
            </w:pPr>
            <w:r>
              <w:rPr>
                <w:b/>
                <w:snapToGrid w:val="0"/>
                <w:color w:val="000000"/>
                <w:sz w:val="20"/>
              </w:rPr>
              <w:t>Impairment-Related Work Expenses</w:t>
            </w:r>
            <w:r>
              <w:rPr>
                <w:snapToGrid w:val="0"/>
                <w:color w:val="000000"/>
                <w:sz w:val="20"/>
              </w:rPr>
              <w:t xml:space="preserve">—Certain expenses for things a person with a disability needs because of his/her impairment in order to work may be deducted when counting earnings to determine if a person is eligible and to figure the payment amount. </w:t>
            </w:r>
          </w:p>
          <w:p w14:paraId="0AC8B50D" w14:textId="77777777" w:rsidR="00251DDC" w:rsidRDefault="00251DDC">
            <w:pPr>
              <w:rPr>
                <w:b/>
                <w:bCs/>
                <w:snapToGrid w:val="0"/>
                <w:color w:val="000000"/>
                <w:sz w:val="20"/>
              </w:rPr>
            </w:pPr>
          </w:p>
          <w:p w14:paraId="50D67D60" w14:textId="77777777" w:rsidR="00BB1EB9" w:rsidRDefault="00BB1EB9">
            <w:pPr>
              <w:rPr>
                <w:rFonts w:cs="Arial"/>
                <w:sz w:val="20"/>
              </w:rPr>
            </w:pPr>
            <w:r>
              <w:rPr>
                <w:b/>
                <w:bCs/>
                <w:snapToGrid w:val="0"/>
                <w:color w:val="000000"/>
                <w:sz w:val="20"/>
              </w:rPr>
              <w:t>Blind Work Expenses</w:t>
            </w:r>
            <w:r>
              <w:rPr>
                <w:snapToGrid w:val="0"/>
                <w:color w:val="000000"/>
                <w:sz w:val="20"/>
              </w:rPr>
              <w:t>----</w:t>
            </w:r>
            <w:r>
              <w:rPr>
                <w:rFonts w:cs="Arial"/>
              </w:rPr>
              <w:t xml:space="preserve"> </w:t>
            </w:r>
            <w:r>
              <w:rPr>
                <w:rFonts w:cs="Arial"/>
                <w:sz w:val="20"/>
              </w:rPr>
              <w:t xml:space="preserve">Earned income that a blind individual uses to meet the expenses of working does not count when </w:t>
            </w:r>
            <w:r w:rsidR="00735892">
              <w:rPr>
                <w:rFonts w:cs="Arial"/>
                <w:sz w:val="20"/>
              </w:rPr>
              <w:t xml:space="preserve">Social Security </w:t>
            </w:r>
            <w:r>
              <w:rPr>
                <w:rFonts w:cs="Arial"/>
                <w:sz w:val="20"/>
              </w:rPr>
              <w:t>determine SSI eligibility and payment amount. The expenses do not need to be related to blindness and include earned income used to pay income taxes, meals consumed during work hours, transportation costs or guide dog expenses.</w:t>
            </w:r>
          </w:p>
          <w:p w14:paraId="4F94BAEB" w14:textId="77777777" w:rsidR="00BB1EB9" w:rsidRDefault="00BB1EB9">
            <w:pPr>
              <w:rPr>
                <w:rFonts w:cs="Arial"/>
                <w:sz w:val="20"/>
              </w:rPr>
            </w:pPr>
          </w:p>
          <w:p w14:paraId="17D3AA8E" w14:textId="3C2C12D5" w:rsidR="00BB1EB9" w:rsidRDefault="00BB1EB9">
            <w:pPr>
              <w:rPr>
                <w:snapToGrid w:val="0"/>
                <w:color w:val="000000"/>
                <w:sz w:val="20"/>
              </w:rPr>
            </w:pPr>
            <w:r>
              <w:rPr>
                <w:b/>
                <w:snapToGrid w:val="0"/>
                <w:color w:val="000000"/>
                <w:sz w:val="20"/>
              </w:rPr>
              <w:t>Student</w:t>
            </w:r>
            <w:r w:rsidR="005F4240">
              <w:rPr>
                <w:b/>
                <w:snapToGrid w:val="0"/>
                <w:color w:val="000000"/>
                <w:sz w:val="20"/>
              </w:rPr>
              <w:t xml:space="preserve"> Earned Income Exclusion </w:t>
            </w:r>
            <w:r>
              <w:rPr>
                <w:snapToGrid w:val="0"/>
                <w:color w:val="000000"/>
                <w:sz w:val="20"/>
              </w:rPr>
              <w:t xml:space="preserve">— </w:t>
            </w:r>
            <w:r w:rsidR="005F4240">
              <w:rPr>
                <w:snapToGrid w:val="0"/>
                <w:color w:val="000000"/>
                <w:sz w:val="20"/>
              </w:rPr>
              <w:t>Disabled s</w:t>
            </w:r>
            <w:r w:rsidR="001B5F17">
              <w:rPr>
                <w:snapToGrid w:val="0"/>
                <w:color w:val="000000"/>
                <w:sz w:val="20"/>
              </w:rPr>
              <w:t>tudent</w:t>
            </w:r>
            <w:r w:rsidR="005F4240">
              <w:rPr>
                <w:snapToGrid w:val="0"/>
                <w:color w:val="000000"/>
                <w:sz w:val="20"/>
              </w:rPr>
              <w:t>s under age 22</w:t>
            </w:r>
            <w:r w:rsidR="001B5F17">
              <w:rPr>
                <w:snapToGrid w:val="0"/>
                <w:color w:val="000000"/>
                <w:sz w:val="20"/>
              </w:rPr>
              <w:t xml:space="preserve"> may exclude up to $</w:t>
            </w:r>
            <w:r w:rsidR="00350C99">
              <w:rPr>
                <w:snapToGrid w:val="0"/>
                <w:color w:val="000000"/>
                <w:sz w:val="20"/>
              </w:rPr>
              <w:t>2</w:t>
            </w:r>
            <w:r w:rsidR="00303E45">
              <w:rPr>
                <w:snapToGrid w:val="0"/>
                <w:color w:val="000000"/>
                <w:sz w:val="20"/>
              </w:rPr>
              <w:t>,</w:t>
            </w:r>
            <w:r w:rsidR="00A27A26">
              <w:rPr>
                <w:snapToGrid w:val="0"/>
                <w:color w:val="000000"/>
                <w:sz w:val="20"/>
              </w:rPr>
              <w:t xml:space="preserve">350 </w:t>
            </w:r>
            <w:r w:rsidR="003F7505">
              <w:rPr>
                <w:snapToGrid w:val="0"/>
                <w:color w:val="000000"/>
                <w:sz w:val="20"/>
              </w:rPr>
              <w:t>of earnings a month ($</w:t>
            </w:r>
            <w:r w:rsidR="001739DA">
              <w:rPr>
                <w:snapToGrid w:val="0"/>
                <w:color w:val="000000"/>
                <w:sz w:val="20"/>
              </w:rPr>
              <w:t>9,</w:t>
            </w:r>
            <w:r w:rsidR="00A27A26">
              <w:rPr>
                <w:snapToGrid w:val="0"/>
                <w:color w:val="000000"/>
                <w:sz w:val="20"/>
              </w:rPr>
              <w:t>460</w:t>
            </w:r>
            <w:r>
              <w:rPr>
                <w:snapToGrid w:val="0"/>
                <w:color w:val="000000"/>
                <w:sz w:val="20"/>
              </w:rPr>
              <w:t xml:space="preserve"> a year).</w:t>
            </w:r>
          </w:p>
          <w:p w14:paraId="2E42D39E" w14:textId="77777777" w:rsidR="00BB1EB9" w:rsidRDefault="00BB1EB9">
            <w:pPr>
              <w:rPr>
                <w:b/>
                <w:snapToGrid w:val="0"/>
                <w:color w:val="000000"/>
                <w:sz w:val="20"/>
              </w:rPr>
            </w:pPr>
          </w:p>
          <w:p w14:paraId="54BD198E" w14:textId="77777777" w:rsidR="00BB1EB9" w:rsidRDefault="00BB1EB9">
            <w:pPr>
              <w:rPr>
                <w:snapToGrid w:val="0"/>
                <w:color w:val="000000"/>
                <w:sz w:val="20"/>
              </w:rPr>
            </w:pPr>
            <w:r>
              <w:rPr>
                <w:b/>
                <w:snapToGrid w:val="0"/>
                <w:color w:val="000000"/>
                <w:sz w:val="20"/>
              </w:rPr>
              <w:t>Sheltered Workshop Payments</w:t>
            </w:r>
            <w:r>
              <w:rPr>
                <w:snapToGrid w:val="0"/>
                <w:color w:val="000000"/>
                <w:sz w:val="20"/>
              </w:rPr>
              <w:t>—Pay received in a sheltered workshop is treated as earned income, regardless of whether it is considered wages for other purposes. This enables Social Security to exclude more of the sheltered workshop employee’s earnings when computing his/her SSI payment.</w:t>
            </w:r>
          </w:p>
          <w:p w14:paraId="758A4F86" w14:textId="77777777" w:rsidR="00BB1EB9" w:rsidRDefault="00BB1EB9">
            <w:pPr>
              <w:rPr>
                <w:snapToGrid w:val="0"/>
                <w:color w:val="000000"/>
                <w:sz w:val="20"/>
              </w:rPr>
            </w:pPr>
          </w:p>
          <w:p w14:paraId="5619B9F2" w14:textId="20D1E03D" w:rsidR="00BB1EB9" w:rsidRDefault="00A27A26">
            <w:pPr>
              <w:rPr>
                <w:snapToGrid w:val="0"/>
                <w:color w:val="000000"/>
                <w:sz w:val="20"/>
              </w:rPr>
            </w:pPr>
            <w:r>
              <w:rPr>
                <w:b/>
                <w:snapToGrid w:val="0"/>
                <w:color w:val="000000"/>
                <w:sz w:val="20"/>
              </w:rPr>
              <w:t>ABLE</w:t>
            </w:r>
            <w:r w:rsidR="00BB1EB9">
              <w:rPr>
                <w:snapToGrid w:val="0"/>
                <w:color w:val="000000"/>
                <w:sz w:val="20"/>
              </w:rPr>
              <w:t>—</w:t>
            </w:r>
            <w:r w:rsidR="00B139D4">
              <w:rPr>
                <w:snapToGrid w:val="0"/>
                <w:color w:val="000000"/>
                <w:sz w:val="20"/>
              </w:rPr>
              <w:t xml:space="preserve">An ABLE account is a savings and/or investment option for people with disabilities who qualify. ABLE is a tax-advantaged savings account to save and invest money for disability-related expenses (Qualified Disability Expenses) without losing eligibility for means-tested programs such as Medicaid.  </w:t>
            </w:r>
            <w:hyperlink r:id="rId5" w:history="1">
              <w:r w:rsidR="00B139D4" w:rsidRPr="0061290D">
                <w:rPr>
                  <w:rStyle w:val="Hyperlink"/>
                  <w:snapToGrid w:val="0"/>
                  <w:sz w:val="20"/>
                </w:rPr>
                <w:t>www.georgiastable.com</w:t>
              </w:r>
            </w:hyperlink>
            <w:r w:rsidR="00B139D4">
              <w:rPr>
                <w:snapToGrid w:val="0"/>
                <w:color w:val="000000"/>
                <w:sz w:val="20"/>
              </w:rPr>
              <w:t xml:space="preserve"> </w:t>
            </w:r>
          </w:p>
          <w:p w14:paraId="33FF52E7" w14:textId="77777777" w:rsidR="00BB1EB9" w:rsidRDefault="00BB1EB9">
            <w:pPr>
              <w:rPr>
                <w:snapToGrid w:val="0"/>
                <w:color w:val="000000"/>
                <w:sz w:val="20"/>
              </w:rPr>
            </w:pPr>
          </w:p>
          <w:p w14:paraId="651C4786" w14:textId="77777777" w:rsidR="00BB1EB9" w:rsidRDefault="00BB1EB9">
            <w:pPr>
              <w:rPr>
                <w:snapToGrid w:val="0"/>
                <w:color w:val="000000"/>
                <w:sz w:val="20"/>
              </w:rPr>
            </w:pPr>
          </w:p>
        </w:tc>
      </w:tr>
    </w:tbl>
    <w:p w14:paraId="527BD37E" w14:textId="77777777" w:rsidR="00DF7A4A" w:rsidRPr="007D5AAF" w:rsidRDefault="00DF7A4A" w:rsidP="002E2816">
      <w:pPr>
        <w:ind w:left="270"/>
        <w:jc w:val="center"/>
        <w:rPr>
          <w:snapToGrid w:val="0"/>
          <w:color w:val="000000"/>
          <w:sz w:val="20"/>
        </w:rPr>
      </w:pPr>
      <w:r w:rsidRPr="002B3CA9">
        <w:rPr>
          <w:rFonts w:cs="Arial"/>
          <w:sz w:val="18"/>
          <w:szCs w:val="18"/>
        </w:rPr>
        <w:t>.</w:t>
      </w:r>
    </w:p>
    <w:p w14:paraId="6443738C" w14:textId="77777777" w:rsidR="00BB1EB9" w:rsidRDefault="00BB1EB9">
      <w:pPr>
        <w:autoSpaceDE w:val="0"/>
        <w:autoSpaceDN w:val="0"/>
        <w:adjustRightInd w:val="0"/>
        <w:rPr>
          <w:rFonts w:ascii="Times New Roman" w:hAnsi="Times New Roman"/>
        </w:rPr>
      </w:pPr>
    </w:p>
    <w:tbl>
      <w:tblPr>
        <w:tblpPr w:leftFromText="180" w:rightFromText="180" w:vertAnchor="page" w:horzAnchor="margin" w:tblpX="108" w:tblpY="2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1"/>
        <w:gridCol w:w="7691"/>
      </w:tblGrid>
      <w:tr w:rsidR="00BB1EB9" w14:paraId="3F0BEBF2" w14:textId="77777777" w:rsidTr="00FF3AAF">
        <w:trPr>
          <w:trHeight w:val="6859"/>
        </w:trPr>
        <w:tc>
          <w:tcPr>
            <w:tcW w:w="7285" w:type="dxa"/>
          </w:tcPr>
          <w:p w14:paraId="0AB4AD9C" w14:textId="77777777" w:rsidR="00696A23" w:rsidRPr="00696A23" w:rsidRDefault="00BB1EB9" w:rsidP="00696A23">
            <w:pPr>
              <w:rPr>
                <w:rFonts w:ascii="Times New Roman" w:hAnsi="Times New Roman"/>
                <w:szCs w:val="24"/>
              </w:rPr>
            </w:pPr>
            <w:r w:rsidRPr="005E344A">
              <w:rPr>
                <w:rFonts w:ascii="Times New Roman" w:hAnsi="Times New Roman"/>
                <w:b/>
                <w:bCs/>
                <w:sz w:val="22"/>
                <w:szCs w:val="22"/>
              </w:rPr>
              <w:lastRenderedPageBreak/>
              <w:t>The Ticket To Work And Self-Sufficiency Program</w:t>
            </w:r>
            <w:r w:rsidRPr="005E344A">
              <w:rPr>
                <w:rFonts w:ascii="Times New Roman" w:hAnsi="Times New Roman"/>
                <w:sz w:val="22"/>
                <w:szCs w:val="22"/>
              </w:rPr>
              <w:t>—</w:t>
            </w:r>
            <w:r w:rsidR="00696A23" w:rsidRPr="00696A23">
              <w:rPr>
                <w:rFonts w:ascii="Times New Roman" w:hAnsi="Times New Roman"/>
                <w:szCs w:val="24"/>
              </w:rPr>
              <w:t>The TTW Program is for SSI or SSDI beneficiaries who want to work and participate in planning their employment. Participation in the TTW program increases your available choices when obtaining employment services, vocational rehabilitation services, and other support services you may need to get or keep a job. It is a free and voluntary service. When you participate in the TTW program, you are using your ticket. You might not be subject to a continuing disability review while you are using your Ticket.</w:t>
            </w:r>
          </w:p>
          <w:p w14:paraId="5074F4CA" w14:textId="77777777" w:rsidR="00BB1EB9" w:rsidRPr="005E344A" w:rsidRDefault="00BB1EB9" w:rsidP="005E344A">
            <w:pPr>
              <w:autoSpaceDE w:val="0"/>
              <w:autoSpaceDN w:val="0"/>
              <w:adjustRightInd w:val="0"/>
              <w:ind w:right="-475"/>
              <w:rPr>
                <w:rFonts w:ascii="Times New Roman" w:hAnsi="Times New Roman"/>
                <w:sz w:val="22"/>
                <w:szCs w:val="22"/>
              </w:rPr>
            </w:pPr>
          </w:p>
          <w:p w14:paraId="470A0482" w14:textId="77777777" w:rsidR="00DF7A4A" w:rsidRPr="00F2639F" w:rsidRDefault="00DF7A4A" w:rsidP="00DF7A4A">
            <w:pPr>
              <w:autoSpaceDE w:val="0"/>
              <w:autoSpaceDN w:val="0"/>
              <w:adjustRightInd w:val="0"/>
              <w:jc w:val="center"/>
              <w:rPr>
                <w:rFonts w:ascii="Calibri" w:hAnsi="Calibri" w:cs="Calibri"/>
                <w:b/>
                <w:color w:val="000000"/>
                <w:sz w:val="28"/>
                <w:szCs w:val="28"/>
              </w:rPr>
            </w:pPr>
            <w:r w:rsidRPr="00F2639F">
              <w:rPr>
                <w:rFonts w:ascii="Calibri" w:hAnsi="Calibri" w:cs="Calibri"/>
                <w:b/>
                <w:color w:val="000000"/>
                <w:sz w:val="28"/>
                <w:szCs w:val="28"/>
              </w:rPr>
              <w:t>For more information on how to get started call –</w:t>
            </w:r>
          </w:p>
          <w:p w14:paraId="665BD161" w14:textId="77777777" w:rsidR="00DF7A4A" w:rsidRDefault="00DF7A4A" w:rsidP="00DF7A4A">
            <w:pPr>
              <w:autoSpaceDE w:val="0"/>
              <w:autoSpaceDN w:val="0"/>
              <w:adjustRightInd w:val="0"/>
              <w:rPr>
                <w:rFonts w:ascii="Calibri" w:hAnsi="Calibri" w:cs="Calibri"/>
                <w:b/>
                <w:color w:val="000000"/>
                <w:sz w:val="28"/>
                <w:szCs w:val="28"/>
              </w:rPr>
            </w:pPr>
            <w:r w:rsidRPr="00F2639F">
              <w:rPr>
                <w:rFonts w:ascii="Calibri" w:hAnsi="Calibri" w:cs="Calibri"/>
                <w:b/>
                <w:color w:val="000000"/>
                <w:sz w:val="28"/>
                <w:szCs w:val="28"/>
              </w:rPr>
              <w:t>Ticket To Work Helpline at 1-866-968-7842, TTY 1-866-833-2967</w:t>
            </w:r>
          </w:p>
          <w:p w14:paraId="208DE216" w14:textId="77777777" w:rsidR="00DF7A4A" w:rsidRDefault="00DF7A4A" w:rsidP="00DF7A4A">
            <w:pPr>
              <w:autoSpaceDE w:val="0"/>
              <w:autoSpaceDN w:val="0"/>
              <w:adjustRightInd w:val="0"/>
              <w:jc w:val="center"/>
              <w:rPr>
                <w:rFonts w:ascii="Calibri" w:hAnsi="Calibri" w:cs="Calibri"/>
                <w:b/>
                <w:color w:val="000000"/>
                <w:sz w:val="28"/>
                <w:szCs w:val="28"/>
              </w:rPr>
            </w:pPr>
            <w:r>
              <w:rPr>
                <w:rFonts w:ascii="Calibri" w:hAnsi="Calibri" w:cs="Calibri"/>
                <w:b/>
                <w:color w:val="000000"/>
                <w:sz w:val="28"/>
                <w:szCs w:val="28"/>
              </w:rPr>
              <w:t>Or visit</w:t>
            </w:r>
          </w:p>
          <w:p w14:paraId="7E273770" w14:textId="77777777" w:rsidR="00DF7A4A" w:rsidRDefault="00DF7A4A" w:rsidP="00DF7A4A">
            <w:pPr>
              <w:autoSpaceDE w:val="0"/>
              <w:autoSpaceDN w:val="0"/>
              <w:adjustRightInd w:val="0"/>
              <w:rPr>
                <w:rFonts w:ascii="Calibri" w:hAnsi="Calibri" w:cs="Calibri"/>
                <w:b/>
                <w:color w:val="000000"/>
                <w:sz w:val="28"/>
                <w:szCs w:val="28"/>
              </w:rPr>
            </w:pPr>
          </w:p>
          <w:p w14:paraId="4186AE89" w14:textId="77777777" w:rsidR="00DF7A4A" w:rsidRDefault="00000000" w:rsidP="00DF7A4A">
            <w:pPr>
              <w:autoSpaceDE w:val="0"/>
              <w:autoSpaceDN w:val="0"/>
              <w:adjustRightInd w:val="0"/>
              <w:jc w:val="center"/>
              <w:rPr>
                <w:rFonts w:ascii="Calibri" w:hAnsi="Calibri" w:cs="Calibri"/>
                <w:b/>
                <w:color w:val="000000"/>
                <w:sz w:val="28"/>
                <w:szCs w:val="28"/>
              </w:rPr>
            </w:pPr>
            <w:hyperlink r:id="rId6" w:history="1">
              <w:r w:rsidR="00DF7A4A" w:rsidRPr="00FB0B95">
                <w:rPr>
                  <w:rStyle w:val="Hyperlink"/>
                  <w:rFonts w:ascii="Calibri" w:hAnsi="Calibri" w:cs="Calibri"/>
                  <w:b/>
                  <w:sz w:val="28"/>
                  <w:szCs w:val="28"/>
                </w:rPr>
                <w:t>www.choosework.net</w:t>
              </w:r>
            </w:hyperlink>
          </w:p>
          <w:p w14:paraId="66E29881" w14:textId="77777777" w:rsidR="00DF7A4A" w:rsidRDefault="00DF7A4A" w:rsidP="00DF7A4A">
            <w:pPr>
              <w:autoSpaceDE w:val="0"/>
              <w:autoSpaceDN w:val="0"/>
              <w:adjustRightInd w:val="0"/>
              <w:jc w:val="center"/>
              <w:rPr>
                <w:rFonts w:ascii="Calibri" w:hAnsi="Calibri" w:cs="Calibri"/>
                <w:b/>
                <w:color w:val="000000"/>
                <w:sz w:val="28"/>
                <w:szCs w:val="28"/>
              </w:rPr>
            </w:pPr>
          </w:p>
          <w:p w14:paraId="1E018BCB" w14:textId="77777777" w:rsidR="00DF7A4A" w:rsidRDefault="00AF20EE" w:rsidP="00DF7A4A">
            <w:pPr>
              <w:autoSpaceDE w:val="0"/>
              <w:autoSpaceDN w:val="0"/>
              <w:adjustRightInd w:val="0"/>
              <w:jc w:val="center"/>
              <w:rPr>
                <w:rFonts w:cs="Arial"/>
                <w:sz w:val="18"/>
                <w:szCs w:val="18"/>
              </w:rPr>
            </w:pPr>
            <w:r w:rsidRPr="002B3CA9">
              <w:rPr>
                <w:rFonts w:cs="Arial"/>
                <w:sz w:val="18"/>
                <w:szCs w:val="18"/>
              </w:rPr>
              <w:t>This document is funded through a Social Security cooperative agreement.  Although Social Security reviewed this document for accuracy, it does not constitute an official Social Security communication.</w:t>
            </w:r>
          </w:p>
          <w:p w14:paraId="3C5CB90C" w14:textId="72A4779E" w:rsidR="008F6CDE" w:rsidRDefault="008F6CDE" w:rsidP="00DF7A4A">
            <w:pPr>
              <w:autoSpaceDE w:val="0"/>
              <w:autoSpaceDN w:val="0"/>
              <w:adjustRightInd w:val="0"/>
              <w:jc w:val="center"/>
              <w:rPr>
                <w:rFonts w:cs="Arial"/>
                <w:sz w:val="18"/>
                <w:szCs w:val="18"/>
              </w:rPr>
            </w:pPr>
          </w:p>
          <w:p w14:paraId="2A8DEEE5" w14:textId="2212A2D5" w:rsidR="001466A2" w:rsidRDefault="001466A2" w:rsidP="00DF7A4A">
            <w:pPr>
              <w:autoSpaceDE w:val="0"/>
              <w:autoSpaceDN w:val="0"/>
              <w:adjustRightInd w:val="0"/>
              <w:jc w:val="center"/>
              <w:rPr>
                <w:rFonts w:cs="Arial"/>
                <w:sz w:val="18"/>
                <w:szCs w:val="18"/>
              </w:rPr>
            </w:pPr>
          </w:p>
          <w:p w14:paraId="3FFD7E79" w14:textId="4041C1F3" w:rsidR="001466A2" w:rsidRDefault="001466A2" w:rsidP="00DF7A4A">
            <w:pPr>
              <w:autoSpaceDE w:val="0"/>
              <w:autoSpaceDN w:val="0"/>
              <w:adjustRightInd w:val="0"/>
              <w:jc w:val="center"/>
              <w:rPr>
                <w:rFonts w:cs="Arial"/>
                <w:sz w:val="18"/>
                <w:szCs w:val="18"/>
              </w:rPr>
            </w:pPr>
            <w:r>
              <w:rPr>
                <w:noProof/>
                <w:color w:val="1F497D"/>
              </w:rPr>
              <w:drawing>
                <wp:inline distT="0" distB="0" distL="0" distR="0" wp14:anchorId="0B813989" wp14:editId="12396E1B">
                  <wp:extent cx="26289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28900" cy="830580"/>
                          </a:xfrm>
                          <a:prstGeom prst="rect">
                            <a:avLst/>
                          </a:prstGeom>
                          <a:noFill/>
                          <a:ln>
                            <a:noFill/>
                          </a:ln>
                        </pic:spPr>
                      </pic:pic>
                    </a:graphicData>
                  </a:graphic>
                </wp:inline>
              </w:drawing>
            </w:r>
          </w:p>
          <w:p w14:paraId="4C33D414" w14:textId="77777777" w:rsidR="008F6CDE" w:rsidRDefault="008F6CDE" w:rsidP="00DF7A4A">
            <w:pPr>
              <w:autoSpaceDE w:val="0"/>
              <w:autoSpaceDN w:val="0"/>
              <w:adjustRightInd w:val="0"/>
              <w:jc w:val="center"/>
              <w:rPr>
                <w:rFonts w:cs="Arial"/>
                <w:sz w:val="18"/>
                <w:szCs w:val="18"/>
              </w:rPr>
            </w:pPr>
          </w:p>
          <w:p w14:paraId="7B5BF17B" w14:textId="77777777" w:rsidR="00556E5F" w:rsidRDefault="00556E5F" w:rsidP="00DF7A4A">
            <w:pPr>
              <w:autoSpaceDE w:val="0"/>
              <w:autoSpaceDN w:val="0"/>
              <w:adjustRightInd w:val="0"/>
              <w:jc w:val="center"/>
              <w:rPr>
                <w:rFonts w:cs="Arial"/>
                <w:sz w:val="18"/>
                <w:szCs w:val="18"/>
              </w:rPr>
            </w:pPr>
          </w:p>
          <w:p w14:paraId="114C034F" w14:textId="77777777" w:rsidR="00556E5F" w:rsidRDefault="00556E5F" w:rsidP="00DF7A4A">
            <w:pPr>
              <w:autoSpaceDE w:val="0"/>
              <w:autoSpaceDN w:val="0"/>
              <w:adjustRightInd w:val="0"/>
              <w:jc w:val="center"/>
              <w:rPr>
                <w:rFonts w:cs="Arial"/>
                <w:sz w:val="18"/>
                <w:szCs w:val="18"/>
              </w:rPr>
            </w:pPr>
          </w:p>
          <w:p w14:paraId="03A8E686" w14:textId="77777777" w:rsidR="008F6CDE" w:rsidRDefault="008F6CDE" w:rsidP="00DF7A4A">
            <w:pPr>
              <w:autoSpaceDE w:val="0"/>
              <w:autoSpaceDN w:val="0"/>
              <w:adjustRightInd w:val="0"/>
              <w:jc w:val="center"/>
              <w:rPr>
                <w:rFonts w:cs="Arial"/>
                <w:sz w:val="18"/>
                <w:szCs w:val="18"/>
              </w:rPr>
            </w:pPr>
          </w:p>
          <w:p w14:paraId="01A043BA" w14:textId="77777777" w:rsidR="008F6CDE" w:rsidRPr="000908B6" w:rsidRDefault="008F6CDE" w:rsidP="00DF7A4A">
            <w:pPr>
              <w:autoSpaceDE w:val="0"/>
              <w:autoSpaceDN w:val="0"/>
              <w:adjustRightInd w:val="0"/>
              <w:jc w:val="center"/>
              <w:rPr>
                <w:sz w:val="14"/>
                <w:szCs w:val="14"/>
              </w:rPr>
            </w:pPr>
            <w:r w:rsidRPr="000908B6">
              <w:rPr>
                <w:rFonts w:ascii="Tms Rmn" w:hAnsi="Tms Rmn" w:cs="Tms Rmn"/>
                <w:bCs/>
                <w:iCs/>
                <w:color w:val="000000"/>
                <w:sz w:val="14"/>
                <w:szCs w:val="14"/>
              </w:rPr>
              <w:t>This communication is printed, published, or produced and disseminated at U.S. taxpayer expense</w:t>
            </w:r>
            <w:r w:rsidR="00556E5F" w:rsidRPr="000908B6">
              <w:rPr>
                <w:rFonts w:ascii="Tms Rmn" w:hAnsi="Tms Rmn" w:cs="Tms Rmn"/>
                <w:bCs/>
                <w:iCs/>
                <w:color w:val="000000"/>
                <w:sz w:val="14"/>
                <w:szCs w:val="14"/>
              </w:rPr>
              <w:t>.</w:t>
            </w:r>
          </w:p>
        </w:tc>
        <w:tc>
          <w:tcPr>
            <w:tcW w:w="7307" w:type="dxa"/>
            <w:tcBorders>
              <w:bottom w:val="single" w:sz="4" w:space="0" w:color="auto"/>
            </w:tcBorders>
          </w:tcPr>
          <w:p w14:paraId="7C52EE04" w14:textId="77777777" w:rsidR="00336AB0" w:rsidRDefault="00336AB0" w:rsidP="00A6640B">
            <w:pPr>
              <w:autoSpaceDE w:val="0"/>
              <w:autoSpaceDN w:val="0"/>
              <w:adjustRightInd w:val="0"/>
              <w:rPr>
                <w:rFonts w:ascii="Times New Roman" w:hAnsi="Times New Roman"/>
                <w:b/>
                <w:bCs/>
                <w:sz w:val="23"/>
                <w:szCs w:val="23"/>
              </w:rPr>
            </w:pPr>
          </w:p>
          <w:p w14:paraId="1481F92E" w14:textId="77777777" w:rsidR="005E344A" w:rsidRDefault="00DF7A4A" w:rsidP="00DF7A4A">
            <w:pPr>
              <w:autoSpaceDE w:val="0"/>
              <w:autoSpaceDN w:val="0"/>
              <w:adjustRightInd w:val="0"/>
              <w:jc w:val="center"/>
              <w:rPr>
                <w:rFonts w:ascii="Times New Roman" w:hAnsi="Times New Roman"/>
                <w:b/>
                <w:bCs/>
                <w:sz w:val="23"/>
                <w:szCs w:val="23"/>
              </w:rPr>
            </w:pPr>
            <w:r>
              <w:rPr>
                <w:rFonts w:ascii="Times New Roman" w:hAnsi="Times New Roman"/>
                <w:b/>
                <w:bCs/>
                <w:sz w:val="23"/>
                <w:szCs w:val="23"/>
              </w:rPr>
              <w:t>Notes:</w:t>
            </w:r>
          </w:p>
          <w:p w14:paraId="5941241D" w14:textId="77777777" w:rsidR="005E344A" w:rsidRDefault="005E344A" w:rsidP="00A6640B">
            <w:pPr>
              <w:autoSpaceDE w:val="0"/>
              <w:autoSpaceDN w:val="0"/>
              <w:adjustRightInd w:val="0"/>
              <w:rPr>
                <w:rFonts w:ascii="Times New Roman" w:hAnsi="Times New Roman"/>
                <w:b/>
                <w:bCs/>
                <w:sz w:val="23"/>
                <w:szCs w:val="23"/>
              </w:rPr>
            </w:pPr>
          </w:p>
          <w:p w14:paraId="33135489" w14:textId="77777777" w:rsidR="005E344A"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079EEA1C" w14:textId="77777777" w:rsidR="00B22F91" w:rsidRDefault="00B22F91" w:rsidP="00A6640B">
            <w:pPr>
              <w:autoSpaceDE w:val="0"/>
              <w:autoSpaceDN w:val="0"/>
              <w:adjustRightInd w:val="0"/>
              <w:rPr>
                <w:rFonts w:ascii="Times New Roman" w:hAnsi="Times New Roman"/>
                <w:b/>
                <w:bCs/>
                <w:sz w:val="23"/>
                <w:szCs w:val="23"/>
              </w:rPr>
            </w:pPr>
          </w:p>
          <w:p w14:paraId="7687DB95"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54FFD1CC" w14:textId="77777777" w:rsidR="00B22F91" w:rsidRDefault="00B22F91" w:rsidP="00A6640B">
            <w:pPr>
              <w:autoSpaceDE w:val="0"/>
              <w:autoSpaceDN w:val="0"/>
              <w:adjustRightInd w:val="0"/>
              <w:rPr>
                <w:rFonts w:ascii="Times New Roman" w:hAnsi="Times New Roman"/>
                <w:b/>
                <w:bCs/>
                <w:sz w:val="23"/>
                <w:szCs w:val="23"/>
              </w:rPr>
            </w:pPr>
          </w:p>
          <w:p w14:paraId="752063E3"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76A4E111" w14:textId="77777777" w:rsidR="00B22F91" w:rsidRDefault="00B22F91" w:rsidP="00A6640B">
            <w:pPr>
              <w:autoSpaceDE w:val="0"/>
              <w:autoSpaceDN w:val="0"/>
              <w:adjustRightInd w:val="0"/>
              <w:rPr>
                <w:rFonts w:ascii="Times New Roman" w:hAnsi="Times New Roman"/>
                <w:b/>
                <w:bCs/>
                <w:sz w:val="23"/>
                <w:szCs w:val="23"/>
              </w:rPr>
            </w:pPr>
          </w:p>
          <w:p w14:paraId="2E5B2EB4"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7B1B8E06" w14:textId="77777777" w:rsidR="00B22F91" w:rsidRDefault="00B22F91" w:rsidP="00A6640B">
            <w:pPr>
              <w:autoSpaceDE w:val="0"/>
              <w:autoSpaceDN w:val="0"/>
              <w:adjustRightInd w:val="0"/>
              <w:rPr>
                <w:rFonts w:ascii="Times New Roman" w:hAnsi="Times New Roman"/>
                <w:b/>
                <w:bCs/>
                <w:sz w:val="23"/>
                <w:szCs w:val="23"/>
              </w:rPr>
            </w:pPr>
          </w:p>
          <w:p w14:paraId="6B2465D4"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6E635459" w14:textId="77777777" w:rsidR="00B22F91" w:rsidRDefault="00B22F91" w:rsidP="00A6640B">
            <w:pPr>
              <w:autoSpaceDE w:val="0"/>
              <w:autoSpaceDN w:val="0"/>
              <w:adjustRightInd w:val="0"/>
              <w:rPr>
                <w:rFonts w:ascii="Times New Roman" w:hAnsi="Times New Roman"/>
                <w:b/>
                <w:bCs/>
                <w:sz w:val="23"/>
                <w:szCs w:val="23"/>
              </w:rPr>
            </w:pPr>
          </w:p>
          <w:p w14:paraId="73A7CE8B"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07ABA036" w14:textId="77777777" w:rsidR="00B22F91" w:rsidRDefault="00B22F91" w:rsidP="00A6640B">
            <w:pPr>
              <w:autoSpaceDE w:val="0"/>
              <w:autoSpaceDN w:val="0"/>
              <w:adjustRightInd w:val="0"/>
              <w:rPr>
                <w:rFonts w:ascii="Times New Roman" w:hAnsi="Times New Roman"/>
                <w:b/>
                <w:bCs/>
                <w:sz w:val="23"/>
                <w:szCs w:val="23"/>
              </w:rPr>
            </w:pPr>
          </w:p>
          <w:p w14:paraId="5E2DF8E1"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24B1B199" w14:textId="77777777" w:rsidR="00B22F91" w:rsidRDefault="00B22F91" w:rsidP="00A6640B">
            <w:pPr>
              <w:autoSpaceDE w:val="0"/>
              <w:autoSpaceDN w:val="0"/>
              <w:adjustRightInd w:val="0"/>
              <w:rPr>
                <w:rFonts w:ascii="Times New Roman" w:hAnsi="Times New Roman"/>
                <w:b/>
                <w:bCs/>
                <w:sz w:val="23"/>
                <w:szCs w:val="23"/>
              </w:rPr>
            </w:pPr>
          </w:p>
          <w:p w14:paraId="4FF6F699"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505F3861" w14:textId="77777777" w:rsidR="00B22F91" w:rsidRDefault="00B22F91" w:rsidP="00A6640B">
            <w:pPr>
              <w:autoSpaceDE w:val="0"/>
              <w:autoSpaceDN w:val="0"/>
              <w:adjustRightInd w:val="0"/>
              <w:rPr>
                <w:rFonts w:ascii="Times New Roman" w:hAnsi="Times New Roman"/>
                <w:b/>
                <w:bCs/>
                <w:sz w:val="23"/>
                <w:szCs w:val="23"/>
              </w:rPr>
            </w:pPr>
          </w:p>
          <w:p w14:paraId="7002B12F"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32545102" w14:textId="77777777" w:rsidR="00B22F91" w:rsidRDefault="00B22F91" w:rsidP="00A6640B">
            <w:pPr>
              <w:autoSpaceDE w:val="0"/>
              <w:autoSpaceDN w:val="0"/>
              <w:adjustRightInd w:val="0"/>
              <w:rPr>
                <w:rFonts w:ascii="Times New Roman" w:hAnsi="Times New Roman"/>
                <w:b/>
                <w:bCs/>
                <w:sz w:val="23"/>
                <w:szCs w:val="23"/>
              </w:rPr>
            </w:pPr>
          </w:p>
          <w:p w14:paraId="67B49A28"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168AE7F8" w14:textId="77777777" w:rsidR="00B22F91" w:rsidRDefault="00B22F91" w:rsidP="00A6640B">
            <w:pPr>
              <w:autoSpaceDE w:val="0"/>
              <w:autoSpaceDN w:val="0"/>
              <w:adjustRightInd w:val="0"/>
              <w:rPr>
                <w:rFonts w:ascii="Times New Roman" w:hAnsi="Times New Roman"/>
                <w:b/>
                <w:bCs/>
                <w:sz w:val="23"/>
                <w:szCs w:val="23"/>
              </w:rPr>
            </w:pPr>
          </w:p>
          <w:p w14:paraId="69F1DD19"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7EBBF746" w14:textId="77777777" w:rsidR="00B22F91" w:rsidRDefault="00B22F91" w:rsidP="00A6640B">
            <w:pPr>
              <w:autoSpaceDE w:val="0"/>
              <w:autoSpaceDN w:val="0"/>
              <w:adjustRightInd w:val="0"/>
              <w:rPr>
                <w:rFonts w:ascii="Times New Roman" w:hAnsi="Times New Roman"/>
                <w:b/>
                <w:bCs/>
                <w:sz w:val="23"/>
                <w:szCs w:val="23"/>
              </w:rPr>
            </w:pPr>
          </w:p>
          <w:p w14:paraId="0C0A278D"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7C9C0E15" w14:textId="77777777" w:rsidR="00B22F91" w:rsidRDefault="00B22F91" w:rsidP="00A6640B">
            <w:pPr>
              <w:autoSpaceDE w:val="0"/>
              <w:autoSpaceDN w:val="0"/>
              <w:adjustRightInd w:val="0"/>
              <w:rPr>
                <w:rFonts w:ascii="Times New Roman" w:hAnsi="Times New Roman"/>
                <w:b/>
                <w:bCs/>
                <w:sz w:val="23"/>
                <w:szCs w:val="23"/>
              </w:rPr>
            </w:pPr>
          </w:p>
          <w:p w14:paraId="09D52EDF" w14:textId="77777777" w:rsidR="005E344A"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5273E293" w14:textId="77777777" w:rsidR="00B22F91" w:rsidRDefault="00B22F91" w:rsidP="00A6640B">
            <w:pPr>
              <w:autoSpaceDE w:val="0"/>
              <w:autoSpaceDN w:val="0"/>
              <w:adjustRightInd w:val="0"/>
              <w:rPr>
                <w:rFonts w:ascii="Times New Roman" w:hAnsi="Times New Roman"/>
                <w:b/>
                <w:bCs/>
                <w:sz w:val="23"/>
                <w:szCs w:val="23"/>
              </w:rPr>
            </w:pPr>
          </w:p>
          <w:p w14:paraId="42C7F8C5"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0C9F6F77" w14:textId="77777777" w:rsidR="00B22F91" w:rsidRDefault="00B22F91" w:rsidP="00A6640B">
            <w:pPr>
              <w:autoSpaceDE w:val="0"/>
              <w:autoSpaceDN w:val="0"/>
              <w:adjustRightInd w:val="0"/>
              <w:rPr>
                <w:rFonts w:ascii="Times New Roman" w:hAnsi="Times New Roman"/>
                <w:b/>
                <w:bCs/>
                <w:sz w:val="23"/>
                <w:szCs w:val="23"/>
              </w:rPr>
            </w:pPr>
          </w:p>
          <w:p w14:paraId="5B83F029"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6FA13D1E" w14:textId="77777777" w:rsidR="00B22F91" w:rsidRDefault="00B22F91" w:rsidP="00A6640B">
            <w:pPr>
              <w:autoSpaceDE w:val="0"/>
              <w:autoSpaceDN w:val="0"/>
              <w:adjustRightInd w:val="0"/>
              <w:rPr>
                <w:rFonts w:ascii="Times New Roman" w:hAnsi="Times New Roman"/>
                <w:b/>
                <w:bCs/>
                <w:sz w:val="23"/>
                <w:szCs w:val="23"/>
              </w:rPr>
            </w:pPr>
          </w:p>
          <w:p w14:paraId="17B29B24" w14:textId="77777777" w:rsidR="00B22F91" w:rsidRDefault="00B22F91" w:rsidP="00A6640B">
            <w:pPr>
              <w:autoSpaceDE w:val="0"/>
              <w:autoSpaceDN w:val="0"/>
              <w:adjustRightInd w:val="0"/>
              <w:rPr>
                <w:rFonts w:ascii="Times New Roman" w:hAnsi="Times New Roman"/>
                <w:b/>
                <w:bCs/>
                <w:sz w:val="23"/>
                <w:szCs w:val="23"/>
              </w:rPr>
            </w:pPr>
            <w:r>
              <w:rPr>
                <w:rFonts w:ascii="Times New Roman" w:hAnsi="Times New Roman"/>
                <w:b/>
                <w:bCs/>
                <w:sz w:val="23"/>
                <w:szCs w:val="23"/>
              </w:rPr>
              <w:t>_________________________________________________________________</w:t>
            </w:r>
          </w:p>
          <w:p w14:paraId="39F675A4" w14:textId="77777777" w:rsidR="00433E3A" w:rsidRDefault="00433E3A" w:rsidP="00C654C5">
            <w:pPr>
              <w:autoSpaceDE w:val="0"/>
              <w:autoSpaceDN w:val="0"/>
              <w:adjustRightInd w:val="0"/>
            </w:pPr>
          </w:p>
        </w:tc>
      </w:tr>
    </w:tbl>
    <w:p w14:paraId="476774D0" w14:textId="77777777" w:rsidR="00BB1EB9" w:rsidRDefault="00BB1EB9" w:rsidP="00FF3AAF">
      <w:pPr>
        <w:autoSpaceDE w:val="0"/>
        <w:autoSpaceDN w:val="0"/>
        <w:adjustRightInd w:val="0"/>
      </w:pPr>
    </w:p>
    <w:sectPr w:rsidR="00BB1EB9" w:rsidSect="00BB1EB9">
      <w:pgSz w:w="15840" w:h="12240" w:orient="landscape" w:code="1"/>
      <w:pgMar w:top="288" w:right="662"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634AB34"/>
    <w:lvl w:ilvl="0">
      <w:numFmt w:val="bullet"/>
      <w:lvlText w:val="*"/>
      <w:lvlJc w:val="left"/>
    </w:lvl>
  </w:abstractNum>
  <w:num w:numId="1" w16cid:durableId="845289824">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88F3B4-F662-4005-84CE-163040B5769D}"/>
    <w:docVar w:name="dgnword-eventsink" w:val="84803944"/>
  </w:docVars>
  <w:rsids>
    <w:rsidRoot w:val="00A6640B"/>
    <w:rsid w:val="000908B6"/>
    <w:rsid w:val="000A1C69"/>
    <w:rsid w:val="000D05EA"/>
    <w:rsid w:val="00101615"/>
    <w:rsid w:val="00106A08"/>
    <w:rsid w:val="001379F0"/>
    <w:rsid w:val="001466A2"/>
    <w:rsid w:val="001739DA"/>
    <w:rsid w:val="00197A14"/>
    <w:rsid w:val="001B5C48"/>
    <w:rsid w:val="001B5F17"/>
    <w:rsid w:val="001C1760"/>
    <w:rsid w:val="002466B3"/>
    <w:rsid w:val="00251DDC"/>
    <w:rsid w:val="00296CEA"/>
    <w:rsid w:val="002B3CA9"/>
    <w:rsid w:val="002D254C"/>
    <w:rsid w:val="002E2816"/>
    <w:rsid w:val="002E63D4"/>
    <w:rsid w:val="00303E45"/>
    <w:rsid w:val="00336AB0"/>
    <w:rsid w:val="00350C99"/>
    <w:rsid w:val="003F7505"/>
    <w:rsid w:val="00420FEA"/>
    <w:rsid w:val="004275EA"/>
    <w:rsid w:val="00432B2D"/>
    <w:rsid w:val="00433E3A"/>
    <w:rsid w:val="00452431"/>
    <w:rsid w:val="0047377F"/>
    <w:rsid w:val="004F54E9"/>
    <w:rsid w:val="00517B04"/>
    <w:rsid w:val="00556E5F"/>
    <w:rsid w:val="005A0A5E"/>
    <w:rsid w:val="005C5FE3"/>
    <w:rsid w:val="005E344A"/>
    <w:rsid w:val="005E70FC"/>
    <w:rsid w:val="005F4240"/>
    <w:rsid w:val="00601C08"/>
    <w:rsid w:val="006202AA"/>
    <w:rsid w:val="0062730E"/>
    <w:rsid w:val="00636103"/>
    <w:rsid w:val="0066397D"/>
    <w:rsid w:val="00663ADB"/>
    <w:rsid w:val="00665699"/>
    <w:rsid w:val="00695BB4"/>
    <w:rsid w:val="00696A23"/>
    <w:rsid w:val="006C6C25"/>
    <w:rsid w:val="006D0908"/>
    <w:rsid w:val="006D309D"/>
    <w:rsid w:val="007061B5"/>
    <w:rsid w:val="007113BA"/>
    <w:rsid w:val="00723496"/>
    <w:rsid w:val="00730E88"/>
    <w:rsid w:val="00731AD5"/>
    <w:rsid w:val="00735892"/>
    <w:rsid w:val="00752948"/>
    <w:rsid w:val="007B7C52"/>
    <w:rsid w:val="007D5AAF"/>
    <w:rsid w:val="008132A9"/>
    <w:rsid w:val="00855DE7"/>
    <w:rsid w:val="00860FA5"/>
    <w:rsid w:val="008A00C5"/>
    <w:rsid w:val="008D062D"/>
    <w:rsid w:val="008D3126"/>
    <w:rsid w:val="008D67E5"/>
    <w:rsid w:val="008F0EAE"/>
    <w:rsid w:val="008F2AB4"/>
    <w:rsid w:val="008F6CDE"/>
    <w:rsid w:val="009038C2"/>
    <w:rsid w:val="009D5547"/>
    <w:rsid w:val="00A2618E"/>
    <w:rsid w:val="00A27A26"/>
    <w:rsid w:val="00A35F24"/>
    <w:rsid w:val="00A6640B"/>
    <w:rsid w:val="00AA75C7"/>
    <w:rsid w:val="00AC1A9E"/>
    <w:rsid w:val="00AC2D3C"/>
    <w:rsid w:val="00AF20EE"/>
    <w:rsid w:val="00AF5EAE"/>
    <w:rsid w:val="00B139D4"/>
    <w:rsid w:val="00B22F91"/>
    <w:rsid w:val="00B35421"/>
    <w:rsid w:val="00B43A68"/>
    <w:rsid w:val="00B625A0"/>
    <w:rsid w:val="00B64CF5"/>
    <w:rsid w:val="00BB10D5"/>
    <w:rsid w:val="00BB1EB9"/>
    <w:rsid w:val="00BD67E9"/>
    <w:rsid w:val="00BF1532"/>
    <w:rsid w:val="00C02BF5"/>
    <w:rsid w:val="00C654C5"/>
    <w:rsid w:val="00C90678"/>
    <w:rsid w:val="00D44582"/>
    <w:rsid w:val="00D6591A"/>
    <w:rsid w:val="00D927E4"/>
    <w:rsid w:val="00DC3803"/>
    <w:rsid w:val="00DF693F"/>
    <w:rsid w:val="00DF7A4A"/>
    <w:rsid w:val="00E76EB0"/>
    <w:rsid w:val="00F13026"/>
    <w:rsid w:val="00F145CF"/>
    <w:rsid w:val="00F2639F"/>
    <w:rsid w:val="00F72572"/>
    <w:rsid w:val="00FA0B8A"/>
    <w:rsid w:val="00FA242E"/>
    <w:rsid w:val="00FF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724FF"/>
  <w15:docId w15:val="{ADAE478F-F5FC-403C-B0C4-45E88868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CEA"/>
    <w:rPr>
      <w:rFonts w:ascii="Arial" w:hAnsi="Arial"/>
      <w:sz w:val="24"/>
    </w:rPr>
  </w:style>
  <w:style w:type="paragraph" w:styleId="Heading1">
    <w:name w:val="heading 1"/>
    <w:basedOn w:val="Normal"/>
    <w:next w:val="Normal"/>
    <w:qFormat/>
    <w:rsid w:val="00296CEA"/>
    <w:pPr>
      <w:keepNext/>
      <w:autoSpaceDE w:val="0"/>
      <w:autoSpaceDN w:val="0"/>
      <w:adjustRightInd w:val="0"/>
      <w:ind w:left="270"/>
      <w:outlineLvl w:val="0"/>
    </w:pPr>
    <w:rPr>
      <w:rFonts w:ascii="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CEA"/>
    <w:rPr>
      <w:snapToGrid w:val="0"/>
      <w:color w:val="000000"/>
      <w:sz w:val="20"/>
    </w:rPr>
  </w:style>
  <w:style w:type="paragraph" w:styleId="Title">
    <w:name w:val="Title"/>
    <w:basedOn w:val="Normal"/>
    <w:qFormat/>
    <w:rsid w:val="00296CEA"/>
    <w:pPr>
      <w:jc w:val="center"/>
    </w:pPr>
    <w:rPr>
      <w:b/>
      <w:snapToGrid w:val="0"/>
      <w:color w:val="000000"/>
      <w:sz w:val="20"/>
    </w:rPr>
  </w:style>
  <w:style w:type="character" w:styleId="Hyperlink">
    <w:name w:val="Hyperlink"/>
    <w:basedOn w:val="DefaultParagraphFont"/>
    <w:rsid w:val="00296CEA"/>
    <w:rPr>
      <w:color w:val="0000FF"/>
      <w:u w:val="single"/>
    </w:rPr>
  </w:style>
  <w:style w:type="paragraph" w:styleId="NormalWeb">
    <w:name w:val="Normal (Web)"/>
    <w:basedOn w:val="Normal"/>
    <w:rsid w:val="00452431"/>
    <w:pPr>
      <w:spacing w:before="48" w:after="48"/>
    </w:pPr>
    <w:rPr>
      <w:rFonts w:ascii="Times New Roman" w:hAnsi="Times New Roman"/>
      <w:color w:val="000000"/>
      <w:szCs w:val="24"/>
    </w:rPr>
  </w:style>
  <w:style w:type="paragraph" w:styleId="BalloonText">
    <w:name w:val="Balloon Text"/>
    <w:basedOn w:val="Normal"/>
    <w:link w:val="BalloonTextChar"/>
    <w:rsid w:val="00665699"/>
    <w:rPr>
      <w:rFonts w:ascii="Tahoma" w:hAnsi="Tahoma" w:cs="Tahoma"/>
      <w:sz w:val="16"/>
      <w:szCs w:val="16"/>
    </w:rPr>
  </w:style>
  <w:style w:type="character" w:customStyle="1" w:styleId="BalloonTextChar">
    <w:name w:val="Balloon Text Char"/>
    <w:basedOn w:val="DefaultParagraphFont"/>
    <w:link w:val="BalloonText"/>
    <w:rsid w:val="00665699"/>
    <w:rPr>
      <w:rFonts w:ascii="Tahoma" w:hAnsi="Tahoma" w:cs="Tahoma"/>
      <w:sz w:val="16"/>
      <w:szCs w:val="16"/>
    </w:rPr>
  </w:style>
  <w:style w:type="character" w:styleId="CommentReference">
    <w:name w:val="annotation reference"/>
    <w:basedOn w:val="DefaultParagraphFont"/>
    <w:rsid w:val="00FA0B8A"/>
    <w:rPr>
      <w:sz w:val="16"/>
      <w:szCs w:val="16"/>
    </w:rPr>
  </w:style>
  <w:style w:type="paragraph" w:styleId="CommentText">
    <w:name w:val="annotation text"/>
    <w:basedOn w:val="Normal"/>
    <w:link w:val="CommentTextChar"/>
    <w:rsid w:val="00FA0B8A"/>
    <w:rPr>
      <w:sz w:val="20"/>
    </w:rPr>
  </w:style>
  <w:style w:type="character" w:customStyle="1" w:styleId="CommentTextChar">
    <w:name w:val="Comment Text Char"/>
    <w:basedOn w:val="DefaultParagraphFont"/>
    <w:link w:val="CommentText"/>
    <w:rsid w:val="00FA0B8A"/>
    <w:rPr>
      <w:rFonts w:ascii="Arial" w:hAnsi="Arial"/>
    </w:rPr>
  </w:style>
  <w:style w:type="paragraph" w:styleId="CommentSubject">
    <w:name w:val="annotation subject"/>
    <w:basedOn w:val="CommentText"/>
    <w:next w:val="CommentText"/>
    <w:link w:val="CommentSubjectChar"/>
    <w:rsid w:val="00FA0B8A"/>
    <w:rPr>
      <w:b/>
      <w:bCs/>
    </w:rPr>
  </w:style>
  <w:style w:type="character" w:customStyle="1" w:styleId="CommentSubjectChar">
    <w:name w:val="Comment Subject Char"/>
    <w:basedOn w:val="CommentTextChar"/>
    <w:link w:val="CommentSubject"/>
    <w:rsid w:val="00FA0B8A"/>
    <w:rPr>
      <w:rFonts w:ascii="Arial" w:hAnsi="Arial"/>
      <w:b/>
      <w:bCs/>
    </w:rPr>
  </w:style>
  <w:style w:type="character" w:styleId="UnresolvedMention">
    <w:name w:val="Unresolved Mention"/>
    <w:basedOn w:val="DefaultParagraphFont"/>
    <w:uiPriority w:val="99"/>
    <w:semiHidden/>
    <w:unhideWhenUsed/>
    <w:rsid w:val="00B1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5FDE1.AB7C80F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oosework.net" TargetMode="External"/><Relationship Id="rId5" Type="http://schemas.openxmlformats.org/officeDocument/2006/relationships/hyperlink" Target="http://www.georgiastab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 Desktop Guide To Social Security And SSI Work Incentives</vt:lpstr>
    </vt:vector>
  </TitlesOfParts>
  <Company>Vocational Planning Services</Company>
  <LinksUpToDate>false</LinksUpToDate>
  <CharactersWithSpaces>6822</CharactersWithSpaces>
  <SharedDoc>false</SharedDoc>
  <HLinks>
    <vt:vector size="12" baseType="variant">
      <vt:variant>
        <vt:i4>4456464</vt:i4>
      </vt:variant>
      <vt:variant>
        <vt:i4>3</vt:i4>
      </vt:variant>
      <vt:variant>
        <vt:i4>0</vt:i4>
      </vt:variant>
      <vt:variant>
        <vt:i4>5</vt:i4>
      </vt:variant>
      <vt:variant>
        <vt:lpwstr>http://www.benefitsnavigator.org/</vt:lpwstr>
      </vt:variant>
      <vt:variant>
        <vt:lpwstr/>
      </vt:variant>
      <vt:variant>
        <vt:i4>2949154</vt:i4>
      </vt:variant>
      <vt:variant>
        <vt:i4>0</vt:i4>
      </vt:variant>
      <vt:variant>
        <vt:i4>0</vt:i4>
      </vt:variant>
      <vt:variant>
        <vt:i4>5</vt:i4>
      </vt:variant>
      <vt:variant>
        <vt:lpwstr>http://www.ssa.gov/work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Desktop Guide To Social Security And SSI Work Incentives</dc:title>
  <dc:creator>Curtis L. Rodgers, MS, CRC</dc:creator>
  <cp:lastModifiedBy>Anna Maki</cp:lastModifiedBy>
  <cp:revision>3</cp:revision>
  <cp:lastPrinted>2022-02-24T18:20:00Z</cp:lastPrinted>
  <dcterms:created xsi:type="dcterms:W3CDTF">2024-06-11T18:22:00Z</dcterms:created>
  <dcterms:modified xsi:type="dcterms:W3CDTF">2024-12-31T14:54:00Z</dcterms:modified>
</cp:coreProperties>
</file>